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1F" w:rsidRDefault="00BC701F" w:rsidP="00BC701F">
      <w:pPr>
        <w:jc w:val="center"/>
        <w:rPr>
          <w:rFonts w:ascii="Times New Roman" w:hAnsi="Times New Roman"/>
          <w:b/>
          <w:sz w:val="28"/>
          <w:szCs w:val="28"/>
        </w:rPr>
      </w:pPr>
      <w:r w:rsidRPr="00BC701F">
        <w:rPr>
          <w:rFonts w:ascii="Times New Roman" w:hAnsi="Times New Roman"/>
          <w:b/>
          <w:sz w:val="28"/>
          <w:szCs w:val="28"/>
        </w:rPr>
        <w:t xml:space="preserve">Разъяснения Министерства труда и социальной защиты РФ </w:t>
      </w:r>
    </w:p>
    <w:p w:rsidR="00BC701F" w:rsidRPr="00BC701F" w:rsidRDefault="00BC701F" w:rsidP="00BC701F">
      <w:pPr>
        <w:jc w:val="center"/>
        <w:rPr>
          <w:rFonts w:ascii="Times New Roman" w:hAnsi="Times New Roman"/>
          <w:b/>
          <w:sz w:val="28"/>
          <w:szCs w:val="28"/>
        </w:rPr>
      </w:pPr>
      <w:r w:rsidRPr="00BC701F">
        <w:rPr>
          <w:rFonts w:ascii="Times New Roman" w:hAnsi="Times New Roman"/>
          <w:b/>
          <w:sz w:val="28"/>
          <w:szCs w:val="28"/>
        </w:rPr>
        <w:t xml:space="preserve">от 5 октября </w:t>
      </w:r>
      <w:smartTag w:uri="urn:schemas-microsoft-com:office:smarttags" w:element="metricconverter">
        <w:smartTagPr>
          <w:attr w:name="ProductID" w:val="2012 г"/>
        </w:smartTagPr>
        <w:r w:rsidRPr="00BC701F">
          <w:rPr>
            <w:rFonts w:ascii="Times New Roman" w:hAnsi="Times New Roman"/>
            <w:b/>
            <w:sz w:val="28"/>
            <w:szCs w:val="28"/>
          </w:rPr>
          <w:t>2012 г</w:t>
        </w:r>
      </w:smartTag>
      <w:r w:rsidRPr="00BC701F">
        <w:rPr>
          <w:rFonts w:ascii="Times New Roman" w:hAnsi="Times New Roman"/>
          <w:b/>
          <w:sz w:val="28"/>
          <w:szCs w:val="28"/>
        </w:rPr>
        <w:t>.</w:t>
      </w:r>
      <w:r w:rsidRPr="00BC701F">
        <w:rPr>
          <w:rFonts w:ascii="Times New Roman" w:hAnsi="Times New Roman"/>
          <w:b/>
          <w:sz w:val="28"/>
          <w:szCs w:val="28"/>
        </w:rPr>
        <w:br/>
        <w:t>"Обзор проблемных вопросов, возникающих при заполнении справок о доходах, об имуществе и обязательствах имущественного характера"</w:t>
      </w:r>
    </w:p>
    <w:p w:rsidR="00BC701F" w:rsidRDefault="00BC701F">
      <w:pPr>
        <w:ind w:firstLine="720"/>
        <w:jc w:val="both"/>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Порядок заполнения раздела 1 "Сведения о доходах".</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r w:rsidRPr="00BC701F">
        <w:rPr>
          <w:rStyle w:val="a4"/>
          <w:rFonts w:ascii="Times New Roman" w:hAnsi="Times New Roman"/>
          <w:color w:val="auto"/>
          <w:sz w:val="28"/>
          <w:szCs w:val="28"/>
        </w:rPr>
        <w:t>статья 41</w:t>
      </w:r>
      <w:r w:rsidRPr="00BC701F">
        <w:rPr>
          <w:rFonts w:ascii="Times New Roman" w:hAnsi="Times New Roman"/>
          <w:sz w:val="28"/>
          <w:szCs w:val="28"/>
        </w:rPr>
        <w:t xml:space="preserve"> Налогового кодекса Российской Федерации).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Указываются доходы: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 по основному месту работы (общая сумма дохода, содержащаяся в </w:t>
      </w:r>
      <w:r w:rsidRPr="00BC701F">
        <w:rPr>
          <w:rStyle w:val="a4"/>
          <w:rFonts w:ascii="Times New Roman" w:hAnsi="Times New Roman"/>
          <w:color w:val="auto"/>
          <w:sz w:val="28"/>
          <w:szCs w:val="28"/>
        </w:rPr>
        <w:t>справке</w:t>
      </w:r>
      <w:r w:rsidRPr="00BC701F">
        <w:rPr>
          <w:rFonts w:ascii="Times New Roman" w:hAnsi="Times New Roman"/>
          <w:sz w:val="28"/>
          <w:szCs w:val="28"/>
        </w:rPr>
        <w:t xml:space="preserve"> N 2НДФЛ по месту службы);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 от педагогической деятельности (общая сумма дохода, содержащаяся в </w:t>
      </w:r>
      <w:r w:rsidRPr="00BC701F">
        <w:rPr>
          <w:rStyle w:val="a4"/>
          <w:rFonts w:ascii="Times New Roman" w:hAnsi="Times New Roman"/>
          <w:color w:val="auto"/>
          <w:sz w:val="28"/>
          <w:szCs w:val="28"/>
        </w:rPr>
        <w:t>справке</w:t>
      </w:r>
      <w:r w:rsidRPr="00BC701F">
        <w:rPr>
          <w:rFonts w:ascii="Times New Roman" w:hAnsi="Times New Roman"/>
          <w:sz w:val="28"/>
          <w:szCs w:val="28"/>
        </w:rPr>
        <w:t xml:space="preserve"> N 2НДФЛ по месту преподавания);</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от ценных бумаг и долей участия в коммерческих организациях, включающие:</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w:t>
      </w:r>
      <w:r w:rsidRPr="00BC701F">
        <w:rPr>
          <w:rFonts w:ascii="Times New Roman" w:hAnsi="Times New Roman"/>
          <w:sz w:val="28"/>
          <w:szCs w:val="28"/>
        </w:rPr>
        <w:lastRenderedPageBreak/>
        <w:t>обязательствам.</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иные доходы: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вознаграждение за выполнение трудовых или иных обязанностей, выполненную работу, оказанную услугу;</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w:t>
      </w:r>
      <w:r w:rsidRPr="00BC701F">
        <w:rPr>
          <w:rStyle w:val="a4"/>
          <w:rFonts w:ascii="Times New Roman" w:hAnsi="Times New Roman"/>
          <w:color w:val="auto"/>
          <w:sz w:val="28"/>
          <w:szCs w:val="28"/>
        </w:rPr>
        <w:t>N 40302</w:t>
      </w:r>
      <w:r w:rsidRPr="00BC701F">
        <w:rPr>
          <w:rFonts w:ascii="Times New Roman" w:hAnsi="Times New Roman"/>
          <w:sz w:val="28"/>
          <w:szCs w:val="28"/>
        </w:rPr>
        <w:t xml:space="preserve"> на счет продавца) и иные аналогичные выплаты, полученные служащим;</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государственный сертификат на материнский (семейный) капитал;</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денежные средства, выплаченные (перечисленные на счет) взамен выдачи полагающегося натурального довольствия;</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доходы, полученные от сдачи в аренду или иного использования имущества;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выплаты государственному служащему, являющемуся правопреемником умерших застрахованных лиц в случаях, предусмотренных </w:t>
      </w:r>
      <w:hyperlink r:id="rId4" w:history="1">
        <w:r w:rsidRPr="00BC701F">
          <w:rPr>
            <w:rStyle w:val="a4"/>
            <w:rFonts w:ascii="Times New Roman" w:hAnsi="Times New Roman"/>
            <w:color w:val="auto"/>
            <w:sz w:val="28"/>
            <w:szCs w:val="28"/>
          </w:rPr>
          <w:t>законодательством</w:t>
        </w:r>
      </w:hyperlink>
      <w:r w:rsidRPr="00BC701F">
        <w:rPr>
          <w:rFonts w:ascii="Times New Roman" w:hAnsi="Times New Roman"/>
          <w:sz w:val="28"/>
          <w:szCs w:val="28"/>
        </w:rPr>
        <w:t xml:space="preserve"> Российской Федерации об обязательном пенсионном страховании.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Не подлежат указанию в разделе I справки следующие виды доходов:</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возмещенные суммы расходов, связанных со служебными командировками;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w:t>
      </w:r>
      <w:r w:rsidRPr="00BC701F">
        <w:rPr>
          <w:rFonts w:ascii="Times New Roman" w:hAnsi="Times New Roman"/>
          <w:sz w:val="28"/>
          <w:szCs w:val="28"/>
        </w:rPr>
        <w:lastRenderedPageBreak/>
        <w:t>местностям;</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сумма социального и имущественного налогового вычета, получаемая государственным служащим как налогоплательщиком.</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Порядок заполнения раздела 2 "Сведения об имуществе".</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Подраздел 2.1. Недвижимое имущество.</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Подраздел 2.2.Транспортные средства.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Порядок заполнения раздела 3 "Сведения о денежных средствах, находящихся на счетах в банках и иных кредитных организациях".</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Информация, необходимая для заполнения данного раздела, содержится в договоре банковского вклада, который в соответствии с </w:t>
      </w:r>
      <w:r w:rsidRPr="00BC701F">
        <w:rPr>
          <w:rStyle w:val="a4"/>
          <w:rFonts w:ascii="Times New Roman" w:hAnsi="Times New Roman"/>
          <w:color w:val="auto"/>
          <w:sz w:val="28"/>
          <w:szCs w:val="28"/>
        </w:rPr>
        <w:t>Гражданским кодексом</w:t>
      </w:r>
      <w:r w:rsidRPr="00BC701F">
        <w:rPr>
          <w:rFonts w:ascii="Times New Roman" w:hAnsi="Times New Roman"/>
          <w:sz w:val="28"/>
          <w:szCs w:val="28"/>
        </w:rPr>
        <w:t xml:space="preserve">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Порядок заполнения раздела 4 "Сведения о ценных бумагах".</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При заполнении данного раздела необходимо учитывать следующее.</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lastRenderedPageBreak/>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Видами ценных бумаг являются облигации, банковские сберегательные сертификаты, векселя (простые и переводные), чеки, закладные, паи.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Порядок заполнения раздела 5 "Сведения об обязательствах имущественного характера".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Подраздел 5.1. Объекты недвижимого имущества, находящиеся в пользовании.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Подлежат указанию сведения:</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о квартирах, занимаемых по договору аренды (найма, поднайма) жилого помещения;</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о квартирах, занимаемых по договорам социального найма.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 подразделе 5.1 не указывается имущество, которое находится в собственности и указано в подразделе 2.1 справки.</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w:t>
      </w:r>
      <w:r w:rsidRPr="00BC701F">
        <w:rPr>
          <w:rFonts w:ascii="Times New Roman" w:hAnsi="Times New Roman"/>
          <w:sz w:val="28"/>
          <w:szCs w:val="28"/>
        </w:rPr>
        <w:lastRenderedPageBreak/>
        <w:t>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Подраздел 5.2. Прочие обязательства.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r w:rsidRPr="00BC701F">
        <w:rPr>
          <w:rStyle w:val="a4"/>
          <w:rFonts w:ascii="Times New Roman" w:hAnsi="Times New Roman"/>
          <w:color w:val="auto"/>
          <w:sz w:val="28"/>
          <w:szCs w:val="28"/>
        </w:rPr>
        <w:t>статьей 1</w:t>
      </w:r>
      <w:r w:rsidRPr="00BC701F">
        <w:rPr>
          <w:rFonts w:ascii="Times New Roman" w:hAnsi="Times New Roman"/>
          <w:sz w:val="28"/>
          <w:szCs w:val="28"/>
        </w:rPr>
        <w:t xml:space="preserve"> Федерального закона от 19 июня 2000 г. N 82-ФЗ "О минимальном размере оплаты труда" минимальный размер оплаты труда с 1 июня 2011 года составляет 4 611 рублей в месяц (по состоянию на 1 января 2012 года).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Подлежат указанию:</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договоры финансовой аренды;</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договоры займа;</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договоры финансирования под уступку денежного требования;</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обязательства вследствие причинения вреда (финансовые) и т.д.</w:t>
      </w: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C701F" w:rsidRPr="00BC701F" w:rsidRDefault="00BC701F">
      <w:pPr>
        <w:ind w:firstLine="720"/>
        <w:jc w:val="both"/>
        <w:rPr>
          <w:rFonts w:ascii="Times New Roman" w:hAnsi="Times New Roman"/>
          <w:sz w:val="28"/>
          <w:szCs w:val="28"/>
        </w:rPr>
      </w:pPr>
    </w:p>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Дополнительно сообщаем.</w:t>
      </w:r>
    </w:p>
    <w:p w:rsidR="00BC701F" w:rsidRPr="00BC701F" w:rsidRDefault="00BC701F">
      <w:pPr>
        <w:ind w:firstLine="720"/>
        <w:jc w:val="both"/>
        <w:rPr>
          <w:rFonts w:ascii="Times New Roman" w:hAnsi="Times New Roman"/>
          <w:sz w:val="28"/>
          <w:szCs w:val="28"/>
        </w:rPr>
      </w:pPr>
      <w:bookmarkStart w:id="0" w:name="sub_1"/>
      <w:r w:rsidRPr="00BC701F">
        <w:rPr>
          <w:rFonts w:ascii="Times New Roman" w:hAnsi="Times New Roman"/>
          <w:sz w:val="28"/>
          <w:szCs w:val="28"/>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bookmarkEnd w:id="0"/>
    <w:p w:rsidR="00BC701F" w:rsidRPr="00BC701F" w:rsidRDefault="00BC701F">
      <w:pPr>
        <w:ind w:firstLine="720"/>
        <w:jc w:val="both"/>
        <w:rPr>
          <w:rFonts w:ascii="Times New Roman" w:hAnsi="Times New Roman"/>
          <w:sz w:val="28"/>
          <w:szCs w:val="28"/>
        </w:rPr>
      </w:pPr>
      <w:r w:rsidRPr="00BC701F">
        <w:rPr>
          <w:rFonts w:ascii="Times New Roman" w:hAnsi="Times New Roman"/>
          <w:sz w:val="28"/>
          <w:szCs w:val="28"/>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BC701F" w:rsidRPr="00BC701F" w:rsidRDefault="00BC701F">
      <w:pPr>
        <w:ind w:firstLine="720"/>
        <w:jc w:val="both"/>
        <w:rPr>
          <w:rFonts w:ascii="Times New Roman" w:hAnsi="Times New Roman"/>
          <w:sz w:val="28"/>
          <w:szCs w:val="28"/>
        </w:rPr>
      </w:pPr>
    </w:p>
    <w:sectPr w:rsidR="00BC701F" w:rsidRPr="00BC701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01F"/>
    <w:rsid w:val="008118EF"/>
    <w:rsid w:val="00A15678"/>
    <w:rsid w:val="00AC5A5D"/>
    <w:rsid w:val="00BC7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character" w:styleId="affff">
    <w:name w:val="Hyperlink"/>
    <w:basedOn w:val="a0"/>
    <w:uiPriority w:val="99"/>
    <w:rsid w:val="00BC701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51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11090</Characters>
  <Application>Microsoft Office Word</Application>
  <DocSecurity>0</DocSecurity>
  <Lines>92</Lines>
  <Paragraphs>25</Paragraphs>
  <ScaleCrop>false</ScaleCrop>
  <Company>НПП "Гарант-Сервис"</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Министерства труда и социальной защиты РФ </dc:title>
  <dc:subject/>
  <dc:creator>НПП "Гарант-Сервис"</dc:creator>
  <cp:keywords/>
  <dc:description>Документ экспортирован из системы ГАРАНТ</dc:description>
  <cp:lastModifiedBy>GaleevAM</cp:lastModifiedBy>
  <cp:revision>2</cp:revision>
  <dcterms:created xsi:type="dcterms:W3CDTF">2016-02-04T08:26:00Z</dcterms:created>
  <dcterms:modified xsi:type="dcterms:W3CDTF">2016-02-04T08:26:00Z</dcterms:modified>
</cp:coreProperties>
</file>